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A490" w14:textId="77777777" w:rsidR="00C637C5" w:rsidRPr="00C637C5" w:rsidRDefault="00C637C5" w:rsidP="00C637C5">
      <w:pPr>
        <w:spacing w:before="100" w:beforeAutospacing="1" w:after="100" w:afterAutospacing="1" w:line="240" w:lineRule="auto"/>
        <w:outlineLvl w:val="0"/>
        <w:rPr>
          <w:rFonts w:ascii="Barlow" w:eastAsia="Times New Roman" w:hAnsi="Barlow" w:cs="Times New Roman"/>
          <w:color w:val="3C3C3C"/>
          <w:kern w:val="36"/>
          <w:sz w:val="48"/>
          <w:szCs w:val="48"/>
          <w:lang w:eastAsia="fi-FI"/>
          <w14:ligatures w14:val="none"/>
        </w:rPr>
      </w:pPr>
      <w:r w:rsidRPr="00C637C5">
        <w:rPr>
          <w:rFonts w:ascii="Barlow" w:eastAsia="Times New Roman" w:hAnsi="Barlow" w:cs="Times New Roman"/>
          <w:color w:val="3C3C3C"/>
          <w:kern w:val="36"/>
          <w:sz w:val="48"/>
          <w:szCs w:val="48"/>
          <w:lang w:eastAsia="fi-FI"/>
          <w14:ligatures w14:val="none"/>
        </w:rPr>
        <w:t>Rakennustuoteteollisuuden tekstimuutokset 2025</w:t>
      </w:r>
    </w:p>
    <w:p w14:paraId="4ADDFBDB" w14:textId="77777777" w:rsidR="00C637C5" w:rsidRPr="00C637C5" w:rsidRDefault="00C637C5" w:rsidP="00C637C5">
      <w:pPr>
        <w:spacing w:before="100" w:beforeAutospacing="1" w:after="100" w:afterAutospacing="1" w:line="240" w:lineRule="auto"/>
        <w:rPr>
          <w:rFonts w:ascii="Barlow" w:eastAsia="Times New Roman" w:hAnsi="Barlow" w:cs="Times New Roman"/>
          <w:caps/>
          <w:color w:val="3C3C3C"/>
          <w:kern w:val="0"/>
          <w:sz w:val="26"/>
          <w:szCs w:val="26"/>
          <w:lang w:eastAsia="fi-FI"/>
          <w14:ligatures w14:val="none"/>
        </w:rPr>
      </w:pPr>
      <w:r w:rsidRPr="00C637C5">
        <w:rPr>
          <w:rFonts w:ascii="Source Code Pro" w:eastAsia="Times New Roman" w:hAnsi="Source Code Pro" w:cs="Times New Roman"/>
          <w:caps/>
          <w:color w:val="3C3C3C"/>
          <w:kern w:val="0"/>
          <w:sz w:val="23"/>
          <w:szCs w:val="23"/>
          <w:lang w:eastAsia="fi-FI"/>
          <w14:ligatures w14:val="none"/>
        </w:rPr>
        <w:t>19.5.2025</w:t>
      </w:r>
      <w:r w:rsidRPr="00C637C5">
        <w:rPr>
          <w:rFonts w:ascii="Barlow" w:eastAsia="Times New Roman" w:hAnsi="Barlow" w:cs="Times New Roman"/>
          <w:caps/>
          <w:color w:val="3C3C3C"/>
          <w:kern w:val="0"/>
          <w:sz w:val="26"/>
          <w:szCs w:val="26"/>
          <w:lang w:eastAsia="fi-FI"/>
          <w14:ligatures w14:val="none"/>
        </w:rPr>
        <w:t> </w:t>
      </w:r>
      <w:hyperlink r:id="rId5" w:history="1">
        <w:r w:rsidRPr="00C637C5">
          <w:rPr>
            <w:rFonts w:ascii="Source Code Pro" w:eastAsia="Times New Roman" w:hAnsi="Source Code Pro" w:cs="Times New Roman"/>
            <w:caps/>
            <w:color w:val="AA2128"/>
            <w:kern w:val="0"/>
            <w:sz w:val="23"/>
            <w:szCs w:val="23"/>
            <w:u w:val="single"/>
            <w:lang w:eastAsia="fi-FI"/>
            <w14:ligatures w14:val="none"/>
          </w:rPr>
          <w:t>Uutiset</w:t>
        </w:r>
      </w:hyperlink>
      <w:hyperlink r:id="rId6" w:history="1">
        <w:r w:rsidRPr="00C637C5">
          <w:rPr>
            <w:rFonts w:ascii="Source Code Pro" w:eastAsia="Times New Roman" w:hAnsi="Source Code Pro" w:cs="Times New Roman"/>
            <w:caps/>
            <w:color w:val="AA2128"/>
            <w:kern w:val="0"/>
            <w:sz w:val="23"/>
            <w:szCs w:val="23"/>
            <w:u w:val="single"/>
            <w:lang w:eastAsia="fi-FI"/>
            <w14:ligatures w14:val="none"/>
          </w:rPr>
          <w:t>Palkat ja TES</w:t>
        </w:r>
      </w:hyperlink>
    </w:p>
    <w:p w14:paraId="4113EEB4"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hyperlink r:id="rId7" w:history="1">
        <w:r w:rsidRPr="00C637C5">
          <w:rPr>
            <w:rFonts w:ascii="Barlow" w:eastAsia="Times New Roman" w:hAnsi="Barlow" w:cs="Times New Roman"/>
            <w:color w:val="AA2128"/>
            <w:kern w:val="0"/>
            <w:sz w:val="26"/>
            <w:szCs w:val="26"/>
            <w:u w:val="single"/>
            <w:lang w:eastAsia="fi-FI"/>
            <w14:ligatures w14:val="none"/>
          </w:rPr>
          <w:t>Rakennustuoteteollisuuden TES-</w:t>
        </w:r>
        <w:proofErr w:type="spellStart"/>
        <w:r w:rsidRPr="00C637C5">
          <w:rPr>
            <w:rFonts w:ascii="Barlow" w:eastAsia="Times New Roman" w:hAnsi="Barlow" w:cs="Times New Roman"/>
            <w:color w:val="AA2128"/>
            <w:kern w:val="0"/>
            <w:sz w:val="26"/>
            <w:szCs w:val="26"/>
            <w:u w:val="single"/>
            <w:lang w:eastAsia="fi-FI"/>
            <w14:ligatures w14:val="none"/>
          </w:rPr>
          <w:t>lennäkki</w:t>
        </w:r>
        <w:proofErr w:type="spellEnd"/>
        <w:r w:rsidRPr="00C637C5">
          <w:rPr>
            <w:rFonts w:ascii="Barlow" w:eastAsia="Times New Roman" w:hAnsi="Barlow" w:cs="Times New Roman"/>
            <w:color w:val="AA2128"/>
            <w:kern w:val="0"/>
            <w:sz w:val="26"/>
            <w:szCs w:val="26"/>
            <w:u w:val="single"/>
            <w:lang w:eastAsia="fi-FI"/>
            <w14:ligatures w14:val="none"/>
          </w:rPr>
          <w:t xml:space="preserve"> 2025 (palkat voimassa 1.9.2025 alkaen)</w:t>
        </w:r>
      </w:hyperlink>
    </w:p>
    <w:p w14:paraId="34B949AE" w14:textId="77777777" w:rsidR="00C637C5" w:rsidRPr="00C637C5" w:rsidRDefault="00C637C5" w:rsidP="00C637C5">
      <w:pPr>
        <w:spacing w:before="100" w:beforeAutospacing="1" w:after="100" w:afterAutospacing="1" w:line="240" w:lineRule="auto"/>
        <w:outlineLvl w:val="1"/>
        <w:rPr>
          <w:rFonts w:ascii="Barlow" w:eastAsia="Times New Roman" w:hAnsi="Barlow" w:cs="Times New Roman"/>
          <w:color w:val="3C3C3C"/>
          <w:kern w:val="0"/>
          <w:sz w:val="36"/>
          <w:szCs w:val="36"/>
          <w:lang w:eastAsia="fi-FI"/>
          <w14:ligatures w14:val="none"/>
        </w:rPr>
      </w:pPr>
      <w:r w:rsidRPr="00C637C5">
        <w:rPr>
          <w:rFonts w:ascii="Barlow" w:eastAsia="Times New Roman" w:hAnsi="Barlow" w:cs="Times New Roman"/>
          <w:color w:val="3C3C3C"/>
          <w:kern w:val="0"/>
          <w:sz w:val="36"/>
          <w:szCs w:val="36"/>
          <w:lang w:eastAsia="fi-FI"/>
          <w14:ligatures w14:val="none"/>
        </w:rPr>
        <w:t>Palkankorotukset 2025</w:t>
      </w:r>
    </w:p>
    <w:p w14:paraId="434C6D54"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Palkkoja korotetaan 1.9.2025 tai lähinnä jälkeen alkavan palkanmaksukauden alusta lukien 2,5 % suuruisella yleiskorotuksella. Kesken olevia urakoita ja työehtosopimuskohtaisia urakkahintoja korotetaan 2,5 %. Työehtosopimusten rahamääräisiä lisiä sekä henkilöstön edustajan erilliskorvauksia korotetaan 2,5 %.</w:t>
      </w:r>
    </w:p>
    <w:p w14:paraId="660B168A" w14:textId="77777777" w:rsidR="00C637C5" w:rsidRPr="00C637C5" w:rsidRDefault="00C637C5" w:rsidP="00C637C5">
      <w:pPr>
        <w:spacing w:before="100" w:beforeAutospacing="1" w:after="100" w:afterAutospacing="1" w:line="240" w:lineRule="auto"/>
        <w:outlineLvl w:val="2"/>
        <w:rPr>
          <w:rFonts w:ascii="Barlow" w:eastAsia="Times New Roman" w:hAnsi="Barlow" w:cs="Times New Roman"/>
          <w:color w:val="3C3C3C"/>
          <w:kern w:val="0"/>
          <w:sz w:val="27"/>
          <w:szCs w:val="27"/>
          <w:lang w:eastAsia="fi-FI"/>
          <w14:ligatures w14:val="none"/>
        </w:rPr>
      </w:pPr>
      <w:r w:rsidRPr="00C637C5">
        <w:rPr>
          <w:rFonts w:ascii="Barlow" w:eastAsia="Times New Roman" w:hAnsi="Barlow" w:cs="Times New Roman"/>
          <w:color w:val="3C3C3C"/>
          <w:kern w:val="0"/>
          <w:sz w:val="27"/>
          <w:szCs w:val="27"/>
          <w:lang w:eastAsia="fi-FI"/>
          <w14:ligatures w14:val="none"/>
        </w:rPr>
        <w:t>Uudet taulukkopalkat 2025</w:t>
      </w:r>
    </w:p>
    <w:tbl>
      <w:tblPr>
        <w:tblW w:w="12780" w:type="dxa"/>
        <w:tblCellMar>
          <w:top w:w="15" w:type="dxa"/>
          <w:left w:w="15" w:type="dxa"/>
          <w:bottom w:w="15" w:type="dxa"/>
          <w:right w:w="15" w:type="dxa"/>
        </w:tblCellMar>
        <w:tblLook w:val="04A0" w:firstRow="1" w:lastRow="0" w:firstColumn="1" w:lastColumn="0" w:noHBand="0" w:noVBand="1"/>
      </w:tblPr>
      <w:tblGrid>
        <w:gridCol w:w="3594"/>
        <w:gridCol w:w="9186"/>
      </w:tblGrid>
      <w:tr w:rsidR="00C637C5" w:rsidRPr="00C637C5" w14:paraId="322BA611"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526CA2F8"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2CB4E115"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12,39</w:t>
            </w:r>
          </w:p>
        </w:tc>
      </w:tr>
      <w:tr w:rsidR="00C637C5" w:rsidRPr="00C637C5" w14:paraId="190BFD52"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4F8E9FEF"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2</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2D9A71C9"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12,93</w:t>
            </w:r>
          </w:p>
        </w:tc>
      </w:tr>
      <w:tr w:rsidR="00C637C5" w:rsidRPr="00C637C5" w14:paraId="645581DB"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7C01E955"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3</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70616B12"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13,49</w:t>
            </w:r>
          </w:p>
        </w:tc>
      </w:tr>
      <w:tr w:rsidR="00C637C5" w:rsidRPr="00C637C5" w14:paraId="60638337"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3F639330"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4</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6A12701A"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14,06</w:t>
            </w:r>
          </w:p>
        </w:tc>
      </w:tr>
      <w:tr w:rsidR="00C637C5" w:rsidRPr="00C637C5" w14:paraId="7985C5F5"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64ADB2CA"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5</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76B0D91B"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14,67</w:t>
            </w:r>
          </w:p>
        </w:tc>
      </w:tr>
      <w:tr w:rsidR="00C637C5" w:rsidRPr="00C637C5" w14:paraId="1D00931D" w14:textId="77777777" w:rsidTr="00C637C5">
        <w:tc>
          <w:tcPr>
            <w:tcW w:w="0" w:type="auto"/>
            <w:tcBorders>
              <w:top w:val="single" w:sz="6" w:space="0" w:color="auto"/>
              <w:left w:val="single" w:sz="6" w:space="0" w:color="auto"/>
              <w:bottom w:val="nil"/>
              <w:right w:val="single" w:sz="6" w:space="0" w:color="CECBCB"/>
            </w:tcBorders>
            <w:tcMar>
              <w:top w:w="75" w:type="dxa"/>
              <w:left w:w="75" w:type="dxa"/>
              <w:bottom w:w="75" w:type="dxa"/>
              <w:right w:w="75" w:type="dxa"/>
            </w:tcMar>
            <w:vAlign w:val="center"/>
            <w:hideMark/>
          </w:tcPr>
          <w:p w14:paraId="1C08509A"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6</w:t>
            </w:r>
          </w:p>
        </w:tc>
        <w:tc>
          <w:tcPr>
            <w:tcW w:w="0" w:type="auto"/>
            <w:tcBorders>
              <w:top w:val="single" w:sz="6" w:space="0" w:color="auto"/>
              <w:left w:val="single" w:sz="6" w:space="0" w:color="auto"/>
              <w:bottom w:val="nil"/>
              <w:right w:val="nil"/>
            </w:tcBorders>
            <w:tcMar>
              <w:top w:w="75" w:type="dxa"/>
              <w:left w:w="75" w:type="dxa"/>
              <w:bottom w:w="75" w:type="dxa"/>
              <w:right w:w="75" w:type="dxa"/>
            </w:tcMar>
            <w:vAlign w:val="center"/>
            <w:hideMark/>
          </w:tcPr>
          <w:p w14:paraId="0608DC85"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16,07</w:t>
            </w:r>
          </w:p>
        </w:tc>
      </w:tr>
    </w:tbl>
    <w:p w14:paraId="3A188D3D" w14:textId="77777777" w:rsidR="00C637C5" w:rsidRPr="00C637C5" w:rsidRDefault="00C637C5" w:rsidP="00C637C5">
      <w:pPr>
        <w:spacing w:before="100" w:beforeAutospacing="1" w:after="100" w:afterAutospacing="1" w:line="240" w:lineRule="auto"/>
        <w:outlineLvl w:val="1"/>
        <w:rPr>
          <w:rFonts w:ascii="Barlow" w:eastAsia="Times New Roman" w:hAnsi="Barlow" w:cs="Times New Roman"/>
          <w:color w:val="3C3C3C"/>
          <w:kern w:val="0"/>
          <w:sz w:val="36"/>
          <w:szCs w:val="36"/>
          <w:lang w:eastAsia="fi-FI"/>
          <w14:ligatures w14:val="none"/>
        </w:rPr>
      </w:pPr>
      <w:r w:rsidRPr="00C637C5">
        <w:rPr>
          <w:rFonts w:ascii="Barlow" w:eastAsia="Times New Roman" w:hAnsi="Barlow" w:cs="Times New Roman"/>
          <w:color w:val="3C3C3C"/>
          <w:kern w:val="0"/>
          <w:sz w:val="36"/>
          <w:szCs w:val="36"/>
          <w:lang w:eastAsia="fi-FI"/>
          <w14:ligatures w14:val="none"/>
        </w:rPr>
        <w:t>Palkankorotukset 2026</w:t>
      </w:r>
    </w:p>
    <w:p w14:paraId="5AEF1E7F"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Palkkoja korotetaan 1.6.2026 tai lähinnä jälkeen alkavan palkanmaksukauden alusta lukien 2,9 % suuruisella yleiskorotuksella. Kesken olevia urakoita ja työehtosopimuskohtaisia urakkahintoja korotetaan 2,9 %. Työehtosopimusten rahamääräisiä lisiä sekä henkilöstön edustajan erilliskorvauksia korotetaan 2,9 %.</w:t>
      </w:r>
    </w:p>
    <w:p w14:paraId="2271D6F7" w14:textId="77777777" w:rsidR="00C637C5" w:rsidRPr="00C637C5" w:rsidRDefault="00C637C5" w:rsidP="00C637C5">
      <w:pPr>
        <w:spacing w:before="100" w:beforeAutospacing="1" w:after="100" w:afterAutospacing="1" w:line="240" w:lineRule="auto"/>
        <w:outlineLvl w:val="2"/>
        <w:rPr>
          <w:rFonts w:ascii="Barlow" w:eastAsia="Times New Roman" w:hAnsi="Barlow" w:cs="Times New Roman"/>
          <w:color w:val="3C3C3C"/>
          <w:kern w:val="0"/>
          <w:sz w:val="27"/>
          <w:szCs w:val="27"/>
          <w:lang w:eastAsia="fi-FI"/>
          <w14:ligatures w14:val="none"/>
        </w:rPr>
      </w:pPr>
      <w:r w:rsidRPr="00C637C5">
        <w:rPr>
          <w:rFonts w:ascii="Barlow" w:eastAsia="Times New Roman" w:hAnsi="Barlow" w:cs="Times New Roman"/>
          <w:color w:val="3C3C3C"/>
          <w:kern w:val="0"/>
          <w:sz w:val="27"/>
          <w:szCs w:val="27"/>
          <w:lang w:eastAsia="fi-FI"/>
          <w14:ligatures w14:val="none"/>
        </w:rPr>
        <w:t>Uudet taulukkopalkat 2026</w:t>
      </w:r>
    </w:p>
    <w:tbl>
      <w:tblPr>
        <w:tblW w:w="12780" w:type="dxa"/>
        <w:tblCellMar>
          <w:top w:w="15" w:type="dxa"/>
          <w:left w:w="15" w:type="dxa"/>
          <w:bottom w:w="15" w:type="dxa"/>
          <w:right w:w="15" w:type="dxa"/>
        </w:tblCellMar>
        <w:tblLook w:val="04A0" w:firstRow="1" w:lastRow="0" w:firstColumn="1" w:lastColumn="0" w:noHBand="0" w:noVBand="1"/>
      </w:tblPr>
      <w:tblGrid>
        <w:gridCol w:w="3594"/>
        <w:gridCol w:w="9186"/>
      </w:tblGrid>
      <w:tr w:rsidR="00C637C5" w:rsidRPr="00C637C5" w14:paraId="054E1C0A"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045079A2"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1E56DC4C"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12,75</w:t>
            </w:r>
          </w:p>
        </w:tc>
      </w:tr>
      <w:tr w:rsidR="00C637C5" w:rsidRPr="00C637C5" w14:paraId="4082CE8D"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2096699A"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2</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455DF4BD"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13,30</w:t>
            </w:r>
          </w:p>
        </w:tc>
      </w:tr>
      <w:tr w:rsidR="00C637C5" w:rsidRPr="00C637C5" w14:paraId="4F5F28E7"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753AD388"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3</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6CD20037"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13,88</w:t>
            </w:r>
          </w:p>
        </w:tc>
      </w:tr>
      <w:tr w:rsidR="00C637C5" w:rsidRPr="00C637C5" w14:paraId="05F89AD4"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10B1078E"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4</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727B79B2"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14,47</w:t>
            </w:r>
          </w:p>
        </w:tc>
      </w:tr>
      <w:tr w:rsidR="00C637C5" w:rsidRPr="00C637C5" w14:paraId="3CB8CBC4"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2D585F8E"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5</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32568854"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15,10</w:t>
            </w:r>
          </w:p>
        </w:tc>
      </w:tr>
      <w:tr w:rsidR="00C637C5" w:rsidRPr="00C637C5" w14:paraId="5BBCEB50" w14:textId="77777777" w:rsidTr="00C637C5">
        <w:tc>
          <w:tcPr>
            <w:tcW w:w="0" w:type="auto"/>
            <w:tcBorders>
              <w:top w:val="single" w:sz="6" w:space="0" w:color="auto"/>
              <w:left w:val="single" w:sz="6" w:space="0" w:color="auto"/>
              <w:bottom w:val="nil"/>
              <w:right w:val="single" w:sz="6" w:space="0" w:color="CECBCB"/>
            </w:tcBorders>
            <w:tcMar>
              <w:top w:w="75" w:type="dxa"/>
              <w:left w:w="75" w:type="dxa"/>
              <w:bottom w:w="75" w:type="dxa"/>
              <w:right w:w="75" w:type="dxa"/>
            </w:tcMar>
            <w:vAlign w:val="center"/>
            <w:hideMark/>
          </w:tcPr>
          <w:p w14:paraId="186E0276"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6</w:t>
            </w:r>
          </w:p>
        </w:tc>
        <w:tc>
          <w:tcPr>
            <w:tcW w:w="0" w:type="auto"/>
            <w:tcBorders>
              <w:top w:val="single" w:sz="6" w:space="0" w:color="auto"/>
              <w:left w:val="single" w:sz="6" w:space="0" w:color="auto"/>
              <w:bottom w:val="nil"/>
              <w:right w:val="nil"/>
            </w:tcBorders>
            <w:tcMar>
              <w:top w:w="75" w:type="dxa"/>
              <w:left w:w="75" w:type="dxa"/>
              <w:bottom w:w="75" w:type="dxa"/>
              <w:right w:w="75" w:type="dxa"/>
            </w:tcMar>
            <w:vAlign w:val="center"/>
            <w:hideMark/>
          </w:tcPr>
          <w:p w14:paraId="4F611DB1"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16,54</w:t>
            </w:r>
          </w:p>
        </w:tc>
      </w:tr>
    </w:tbl>
    <w:p w14:paraId="799C37FF" w14:textId="77777777" w:rsidR="00C637C5" w:rsidRPr="00C637C5" w:rsidRDefault="00C637C5" w:rsidP="00C637C5">
      <w:pPr>
        <w:spacing w:before="100" w:beforeAutospacing="1" w:after="100" w:afterAutospacing="1" w:line="240" w:lineRule="auto"/>
        <w:outlineLvl w:val="1"/>
        <w:rPr>
          <w:rFonts w:ascii="Barlow" w:eastAsia="Times New Roman" w:hAnsi="Barlow" w:cs="Times New Roman"/>
          <w:color w:val="3C3C3C"/>
          <w:kern w:val="0"/>
          <w:sz w:val="36"/>
          <w:szCs w:val="36"/>
          <w:lang w:eastAsia="fi-FI"/>
          <w14:ligatures w14:val="none"/>
        </w:rPr>
      </w:pPr>
      <w:r w:rsidRPr="00C637C5">
        <w:rPr>
          <w:rFonts w:ascii="Barlow" w:eastAsia="Times New Roman" w:hAnsi="Barlow" w:cs="Times New Roman"/>
          <w:color w:val="3C3C3C"/>
          <w:kern w:val="0"/>
          <w:sz w:val="36"/>
          <w:szCs w:val="36"/>
          <w:lang w:eastAsia="fi-FI"/>
          <w14:ligatures w14:val="none"/>
        </w:rPr>
        <w:lastRenderedPageBreak/>
        <w:t>Palkankorotukset 2027</w:t>
      </w:r>
    </w:p>
    <w:p w14:paraId="791D2CF7"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Vuonna 2027 palkkoja korotetaan 1.6.2027 tai lähinnä jälkeen alkavan palkanmaksukauden alusta lukien 2,4 % suuruisella yleiskorotuksella. Kesken olevia urakoita ja työehtosopimuskohtaisia urakkahintoja korotetaan 2,4 %. Työehtosopimusten rahamääräisiä lisiä sekä henkilöstön edustajan erilliskorvauksia korotetaan 2,4 %.</w:t>
      </w:r>
    </w:p>
    <w:p w14:paraId="6F52FF55" w14:textId="77777777" w:rsidR="00C637C5" w:rsidRPr="00C637C5" w:rsidRDefault="00C637C5" w:rsidP="00C637C5">
      <w:pPr>
        <w:spacing w:before="100" w:beforeAutospacing="1" w:after="100" w:afterAutospacing="1" w:line="240" w:lineRule="auto"/>
        <w:outlineLvl w:val="2"/>
        <w:rPr>
          <w:rFonts w:ascii="Barlow" w:eastAsia="Times New Roman" w:hAnsi="Barlow" w:cs="Times New Roman"/>
          <w:color w:val="3C3C3C"/>
          <w:kern w:val="0"/>
          <w:sz w:val="27"/>
          <w:szCs w:val="27"/>
          <w:lang w:eastAsia="fi-FI"/>
          <w14:ligatures w14:val="none"/>
        </w:rPr>
      </w:pPr>
      <w:r w:rsidRPr="00C637C5">
        <w:rPr>
          <w:rFonts w:ascii="Barlow" w:eastAsia="Times New Roman" w:hAnsi="Barlow" w:cs="Times New Roman"/>
          <w:color w:val="3C3C3C"/>
          <w:kern w:val="0"/>
          <w:sz w:val="27"/>
          <w:szCs w:val="27"/>
          <w:lang w:eastAsia="fi-FI"/>
          <w14:ligatures w14:val="none"/>
        </w:rPr>
        <w:t>Uudet taulukkopalkat 2027</w:t>
      </w:r>
    </w:p>
    <w:tbl>
      <w:tblPr>
        <w:tblW w:w="12780" w:type="dxa"/>
        <w:tblCellMar>
          <w:top w:w="15" w:type="dxa"/>
          <w:left w:w="15" w:type="dxa"/>
          <w:bottom w:w="15" w:type="dxa"/>
          <w:right w:w="15" w:type="dxa"/>
        </w:tblCellMar>
        <w:tblLook w:val="04A0" w:firstRow="1" w:lastRow="0" w:firstColumn="1" w:lastColumn="0" w:noHBand="0" w:noVBand="1"/>
      </w:tblPr>
      <w:tblGrid>
        <w:gridCol w:w="3594"/>
        <w:gridCol w:w="9186"/>
      </w:tblGrid>
      <w:tr w:rsidR="00C637C5" w:rsidRPr="00C637C5" w14:paraId="54A2BB68"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5E1A469B"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31138359"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13,06</w:t>
            </w:r>
          </w:p>
        </w:tc>
      </w:tr>
      <w:tr w:rsidR="00C637C5" w:rsidRPr="00C637C5" w14:paraId="5C6C4FA0"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01FC68F7"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2</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4B537996"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13,62</w:t>
            </w:r>
          </w:p>
        </w:tc>
      </w:tr>
      <w:tr w:rsidR="00C637C5" w:rsidRPr="00C637C5" w14:paraId="7E1F5FB9"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42379FB1"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3</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6AF618B9"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14,21</w:t>
            </w:r>
          </w:p>
        </w:tc>
      </w:tr>
      <w:tr w:rsidR="00C637C5" w:rsidRPr="00C637C5" w14:paraId="26DED490"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14A8396A"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4</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14AF5F11"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14,81</w:t>
            </w:r>
          </w:p>
        </w:tc>
      </w:tr>
      <w:tr w:rsidR="00C637C5" w:rsidRPr="00C637C5" w14:paraId="787D6152" w14:textId="77777777" w:rsidTr="00C637C5">
        <w:tc>
          <w:tcPr>
            <w:tcW w:w="0" w:type="auto"/>
            <w:tcBorders>
              <w:top w:val="single" w:sz="6" w:space="0" w:color="auto"/>
              <w:left w:val="single" w:sz="6" w:space="0" w:color="auto"/>
              <w:bottom w:val="single" w:sz="6" w:space="0" w:color="CECBCB"/>
              <w:right w:val="single" w:sz="6" w:space="0" w:color="CECBCB"/>
            </w:tcBorders>
            <w:tcMar>
              <w:top w:w="75" w:type="dxa"/>
              <w:left w:w="75" w:type="dxa"/>
              <w:bottom w:w="75" w:type="dxa"/>
              <w:right w:w="75" w:type="dxa"/>
            </w:tcMar>
            <w:vAlign w:val="center"/>
            <w:hideMark/>
          </w:tcPr>
          <w:p w14:paraId="4D8D536E"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5</w:t>
            </w:r>
          </w:p>
        </w:tc>
        <w:tc>
          <w:tcPr>
            <w:tcW w:w="0" w:type="auto"/>
            <w:tcBorders>
              <w:top w:val="single" w:sz="6" w:space="0" w:color="auto"/>
              <w:left w:val="single" w:sz="6" w:space="0" w:color="auto"/>
              <w:bottom w:val="single" w:sz="6" w:space="0" w:color="CECBCB"/>
              <w:right w:val="nil"/>
            </w:tcBorders>
            <w:tcMar>
              <w:top w:w="75" w:type="dxa"/>
              <w:left w:w="75" w:type="dxa"/>
              <w:bottom w:w="75" w:type="dxa"/>
              <w:right w:w="75" w:type="dxa"/>
            </w:tcMar>
            <w:vAlign w:val="center"/>
            <w:hideMark/>
          </w:tcPr>
          <w:p w14:paraId="41C688DD"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15,46</w:t>
            </w:r>
          </w:p>
        </w:tc>
      </w:tr>
      <w:tr w:rsidR="00C637C5" w:rsidRPr="00C637C5" w14:paraId="12E3DF4A" w14:textId="77777777" w:rsidTr="00C637C5">
        <w:tc>
          <w:tcPr>
            <w:tcW w:w="0" w:type="auto"/>
            <w:tcBorders>
              <w:top w:val="single" w:sz="6" w:space="0" w:color="auto"/>
              <w:left w:val="single" w:sz="6" w:space="0" w:color="auto"/>
              <w:bottom w:val="nil"/>
              <w:right w:val="single" w:sz="6" w:space="0" w:color="CECBCB"/>
            </w:tcBorders>
            <w:tcMar>
              <w:top w:w="75" w:type="dxa"/>
              <w:left w:w="75" w:type="dxa"/>
              <w:bottom w:w="75" w:type="dxa"/>
              <w:right w:w="75" w:type="dxa"/>
            </w:tcMar>
            <w:vAlign w:val="center"/>
            <w:hideMark/>
          </w:tcPr>
          <w:p w14:paraId="7D0B7B39"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6</w:t>
            </w:r>
          </w:p>
        </w:tc>
        <w:tc>
          <w:tcPr>
            <w:tcW w:w="0" w:type="auto"/>
            <w:tcBorders>
              <w:top w:val="single" w:sz="6" w:space="0" w:color="auto"/>
              <w:left w:val="single" w:sz="6" w:space="0" w:color="auto"/>
              <w:bottom w:val="nil"/>
              <w:right w:val="nil"/>
            </w:tcBorders>
            <w:tcMar>
              <w:top w:w="75" w:type="dxa"/>
              <w:left w:w="75" w:type="dxa"/>
              <w:bottom w:w="75" w:type="dxa"/>
              <w:right w:w="75" w:type="dxa"/>
            </w:tcMar>
            <w:vAlign w:val="center"/>
            <w:hideMark/>
          </w:tcPr>
          <w:p w14:paraId="3C834466" w14:textId="77777777" w:rsidR="00C637C5" w:rsidRPr="00C637C5" w:rsidRDefault="00C637C5" w:rsidP="00C637C5">
            <w:pPr>
              <w:spacing w:after="0" w:line="240" w:lineRule="auto"/>
              <w:rPr>
                <w:rFonts w:ascii="Times New Roman" w:eastAsia="Times New Roman" w:hAnsi="Times New Roman" w:cs="Times New Roman"/>
                <w:kern w:val="0"/>
                <w:lang w:eastAsia="fi-FI"/>
                <w14:ligatures w14:val="none"/>
              </w:rPr>
            </w:pPr>
            <w:r w:rsidRPr="00C637C5">
              <w:rPr>
                <w:rFonts w:ascii="Times New Roman" w:eastAsia="Times New Roman" w:hAnsi="Times New Roman" w:cs="Times New Roman"/>
                <w:kern w:val="0"/>
                <w:lang w:eastAsia="fi-FI"/>
                <w14:ligatures w14:val="none"/>
              </w:rPr>
              <w:t>16,93</w:t>
            </w:r>
          </w:p>
        </w:tc>
      </w:tr>
    </w:tbl>
    <w:p w14:paraId="4AF9D261" w14:textId="77777777" w:rsidR="00C637C5" w:rsidRPr="00C637C5" w:rsidRDefault="00C637C5" w:rsidP="00C637C5">
      <w:pPr>
        <w:spacing w:before="100" w:beforeAutospacing="1" w:after="100" w:afterAutospacing="1" w:line="240" w:lineRule="auto"/>
        <w:outlineLvl w:val="1"/>
        <w:rPr>
          <w:rFonts w:ascii="Barlow" w:eastAsia="Times New Roman" w:hAnsi="Barlow" w:cs="Times New Roman"/>
          <w:color w:val="3C3C3C"/>
          <w:kern w:val="0"/>
          <w:sz w:val="36"/>
          <w:szCs w:val="36"/>
          <w:lang w:eastAsia="fi-FI"/>
          <w14:ligatures w14:val="none"/>
        </w:rPr>
      </w:pPr>
      <w:r w:rsidRPr="00C637C5">
        <w:rPr>
          <w:rFonts w:ascii="Barlow" w:eastAsia="Times New Roman" w:hAnsi="Barlow" w:cs="Times New Roman"/>
          <w:color w:val="3C3C3C"/>
          <w:kern w:val="0"/>
          <w:sz w:val="36"/>
          <w:szCs w:val="36"/>
          <w:lang w:eastAsia="fi-FI"/>
          <w14:ligatures w14:val="none"/>
        </w:rPr>
        <w:t>Tekstimuutokset</w:t>
      </w:r>
    </w:p>
    <w:p w14:paraId="6D08AB6D" w14:textId="77777777" w:rsidR="00C637C5" w:rsidRPr="00C637C5" w:rsidRDefault="00C637C5" w:rsidP="00C637C5">
      <w:pPr>
        <w:spacing w:before="100" w:beforeAutospacing="1" w:after="100" w:afterAutospacing="1" w:line="240" w:lineRule="auto"/>
        <w:outlineLvl w:val="2"/>
        <w:rPr>
          <w:rFonts w:ascii="Barlow" w:eastAsia="Times New Roman" w:hAnsi="Barlow" w:cs="Times New Roman"/>
          <w:color w:val="3C3C3C"/>
          <w:kern w:val="0"/>
          <w:sz w:val="27"/>
          <w:szCs w:val="27"/>
          <w:lang w:eastAsia="fi-FI"/>
          <w14:ligatures w14:val="none"/>
        </w:rPr>
      </w:pPr>
      <w:r w:rsidRPr="00C637C5">
        <w:rPr>
          <w:rFonts w:ascii="Barlow" w:eastAsia="Times New Roman" w:hAnsi="Barlow" w:cs="Times New Roman"/>
          <w:color w:val="3C3C3C"/>
          <w:kern w:val="0"/>
          <w:sz w:val="27"/>
          <w:szCs w:val="27"/>
          <w:lang w:eastAsia="fi-FI"/>
          <w14:ligatures w14:val="none"/>
        </w:rPr>
        <w:t>8 §</w:t>
      </w:r>
    </w:p>
    <w:p w14:paraId="00A56CC9"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Muutetaan</w:t>
      </w:r>
    </w:p>
    <w:p w14:paraId="654B1BFB"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2. Ylityötä on työ, jota tehdään työnantajan esityksestä laissa säädetyn tai tässä työehtosopimuksessa määrätyn säännöllisen työajan lisäksi. Vuorokautisesta yli- ja hätätyöstä maksetaan kahdelta ensimmäiseltä tunnilta 50 prosentilla ja seuraavilta tunneilta 100 prosentilla korotettu palkka.</w:t>
      </w:r>
    </w:p>
    <w:p w14:paraId="0D7D5889"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Muutoin ennallaan.</w:t>
      </w:r>
    </w:p>
    <w:p w14:paraId="1CBA3160" w14:textId="77777777" w:rsidR="00C637C5" w:rsidRPr="00C637C5" w:rsidRDefault="00C637C5" w:rsidP="00C637C5">
      <w:pPr>
        <w:spacing w:before="100" w:beforeAutospacing="1" w:after="100" w:afterAutospacing="1" w:line="240" w:lineRule="auto"/>
        <w:outlineLvl w:val="2"/>
        <w:rPr>
          <w:rFonts w:ascii="Barlow" w:eastAsia="Times New Roman" w:hAnsi="Barlow" w:cs="Times New Roman"/>
          <w:color w:val="3C3C3C"/>
          <w:kern w:val="0"/>
          <w:sz w:val="27"/>
          <w:szCs w:val="27"/>
          <w:lang w:eastAsia="fi-FI"/>
          <w14:ligatures w14:val="none"/>
        </w:rPr>
      </w:pPr>
      <w:r w:rsidRPr="00C637C5">
        <w:rPr>
          <w:rFonts w:ascii="Barlow" w:eastAsia="Times New Roman" w:hAnsi="Barlow" w:cs="Times New Roman"/>
          <w:color w:val="3C3C3C"/>
          <w:kern w:val="0"/>
          <w:sz w:val="27"/>
          <w:szCs w:val="27"/>
          <w:lang w:eastAsia="fi-FI"/>
          <w14:ligatures w14:val="none"/>
        </w:rPr>
        <w:t>9 §</w:t>
      </w:r>
    </w:p>
    <w:p w14:paraId="2E04ECCB"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Soveltamisohje siirretään</w:t>
      </w:r>
    </w:p>
    <w:p w14:paraId="0DFCF513"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Soveltamisohjeen ensimmäinen lause 9 § luettelon perään omana kohtana. Muu teksti jää perään soveltamisohjeena.</w:t>
      </w:r>
    </w:p>
    <w:p w14:paraId="3C529EC3"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Mikäli yrityksessä on sovittu työajan lyhentämisestä käyttäen ns. puolipäivä-/</w:t>
      </w:r>
      <w:proofErr w:type="spellStart"/>
      <w:r w:rsidRPr="00C637C5">
        <w:rPr>
          <w:rFonts w:ascii="Barlow" w:eastAsia="Times New Roman" w:hAnsi="Barlow" w:cs="Times New Roman"/>
          <w:color w:val="3C3C3C"/>
          <w:kern w:val="0"/>
          <w:sz w:val="26"/>
          <w:szCs w:val="26"/>
          <w:lang w:eastAsia="fi-FI"/>
          <w14:ligatures w14:val="none"/>
        </w:rPr>
        <w:t>osapäiväpekkasia</w:t>
      </w:r>
      <w:proofErr w:type="spellEnd"/>
      <w:r w:rsidRPr="00C637C5">
        <w:rPr>
          <w:rFonts w:ascii="Barlow" w:eastAsia="Times New Roman" w:hAnsi="Barlow" w:cs="Times New Roman"/>
          <w:color w:val="3C3C3C"/>
          <w:kern w:val="0"/>
          <w:sz w:val="26"/>
          <w:szCs w:val="26"/>
          <w:lang w:eastAsia="fi-FI"/>
          <w14:ligatures w14:val="none"/>
        </w:rPr>
        <w:t>, kertyy työajan lyhennys tehdyltä säännölliseltä työajalta</w:t>
      </w:r>
    </w:p>
    <w:p w14:paraId="48A175E8"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lastRenderedPageBreak/>
        <w:t>Soveltamisohje: Vähäisillä ja satunnaisilla poikkeamilla säännöllisestä työajasta ei ole vaikutusta työajan lyhentämisen laskentaan. Työaikapoikkeamiin tulee puuttua muilla keinoin.</w:t>
      </w:r>
    </w:p>
    <w:p w14:paraId="753521AA" w14:textId="77777777" w:rsidR="00C637C5" w:rsidRPr="00C637C5" w:rsidRDefault="00C637C5" w:rsidP="00C637C5">
      <w:pPr>
        <w:spacing w:before="100" w:beforeAutospacing="1" w:after="100" w:afterAutospacing="1" w:line="240" w:lineRule="auto"/>
        <w:outlineLvl w:val="2"/>
        <w:rPr>
          <w:rFonts w:ascii="Barlow" w:eastAsia="Times New Roman" w:hAnsi="Barlow" w:cs="Times New Roman"/>
          <w:color w:val="3C3C3C"/>
          <w:kern w:val="0"/>
          <w:sz w:val="27"/>
          <w:szCs w:val="27"/>
          <w:lang w:eastAsia="fi-FI"/>
          <w14:ligatures w14:val="none"/>
        </w:rPr>
      </w:pPr>
      <w:r w:rsidRPr="00C637C5">
        <w:rPr>
          <w:rFonts w:ascii="Barlow" w:eastAsia="Times New Roman" w:hAnsi="Barlow" w:cs="Times New Roman"/>
          <w:color w:val="3C3C3C"/>
          <w:kern w:val="0"/>
          <w:sz w:val="27"/>
          <w:szCs w:val="27"/>
          <w:lang w:eastAsia="fi-FI"/>
          <w14:ligatures w14:val="none"/>
        </w:rPr>
        <w:t>9 § – uusi kohta</w:t>
      </w:r>
    </w:p>
    <w:p w14:paraId="1259758A"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 xml:space="preserve">9. Kun työajan lyhentämismääräysten piirissä oleva työntekijä siirtyy kokoaikatyöstä pysyvästi osa-aikatyöhön ja hänen </w:t>
      </w:r>
      <w:proofErr w:type="gramStart"/>
      <w:r w:rsidRPr="00C637C5">
        <w:rPr>
          <w:rFonts w:ascii="Barlow" w:eastAsia="Times New Roman" w:hAnsi="Barlow" w:cs="Times New Roman"/>
          <w:color w:val="3C3C3C"/>
          <w:kern w:val="0"/>
          <w:sz w:val="26"/>
          <w:szCs w:val="26"/>
          <w:lang w:eastAsia="fi-FI"/>
          <w14:ligatures w14:val="none"/>
        </w:rPr>
        <w:t>työsopimuksen</w:t>
      </w:r>
      <w:proofErr w:type="gramEnd"/>
      <w:r w:rsidRPr="00C637C5">
        <w:rPr>
          <w:rFonts w:ascii="Barlow" w:eastAsia="Times New Roman" w:hAnsi="Barlow" w:cs="Times New Roman"/>
          <w:color w:val="3C3C3C"/>
          <w:kern w:val="0"/>
          <w:sz w:val="26"/>
          <w:szCs w:val="26"/>
          <w:lang w:eastAsia="fi-FI"/>
          <w14:ligatures w14:val="none"/>
        </w:rPr>
        <w:t xml:space="preserve"> mukainen päivittäinen säännöllinen työaikansa on edelleen 8 tuntia, maksetaan osa-aikatyötä tekevälle työajanlyhennystä keskituntiansiona niin monelta päivältä, kun hänelle kertyisi työajanlyhennystä kohdan 4. vapaan kertymistä koskeva taulukon mukaan. Osa-aikatyöhön siirtyneelle ei anneta erillistä työajanlyhennysvapaata.</w:t>
      </w:r>
    </w:p>
    <w:p w14:paraId="0CFEEF80"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Edellä mainittu määräys ei koske työntekijää, joka on työaikansa puolesta 10. kohdan mukaisen %-korvauksen piirissä.</w:t>
      </w:r>
    </w:p>
    <w:p w14:paraId="2B36B61A"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proofErr w:type="spellStart"/>
      <w:r w:rsidRPr="00C637C5">
        <w:rPr>
          <w:rFonts w:ascii="Barlow" w:eastAsia="Times New Roman" w:hAnsi="Barlow" w:cs="Times New Roman"/>
          <w:color w:val="3C3C3C"/>
          <w:kern w:val="0"/>
          <w:sz w:val="26"/>
          <w:szCs w:val="26"/>
          <w:lang w:eastAsia="fi-FI"/>
          <w14:ligatures w14:val="none"/>
        </w:rPr>
        <w:t>Huom</w:t>
      </w:r>
      <w:proofErr w:type="spellEnd"/>
      <w:r w:rsidRPr="00C637C5">
        <w:rPr>
          <w:rFonts w:ascii="Barlow" w:eastAsia="Times New Roman" w:hAnsi="Barlow" w:cs="Times New Roman"/>
          <w:color w:val="3C3C3C"/>
          <w:kern w:val="0"/>
          <w:sz w:val="26"/>
          <w:szCs w:val="26"/>
          <w:lang w:eastAsia="fi-FI"/>
          <w14:ligatures w14:val="none"/>
        </w:rPr>
        <w:t>! Nykyinen 9. kohta muuttuu 10. kohdaksi.</w:t>
      </w:r>
    </w:p>
    <w:p w14:paraId="6CF4CA8D"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Korvataan 10 §:n 10. kohdan ensimmäinen lause:</w:t>
      </w:r>
    </w:p>
    <w:p w14:paraId="060B6B87"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Muutoin kohta säilyy ennallaan.</w:t>
      </w:r>
    </w:p>
    <w:p w14:paraId="7F28C785"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10. Varallaoloaika tarkoittaa aikaa, jona työntekijän on sopimuksen mukaan oltava työnantajan tavoitettavissa, jotta hänet voidaan kutsua tarvittaessa työhön. Sopimuksessa on mainittava varalla-oloajan pituus. Varallaoloajalta työntekijälle maksetaan korvausta, joka on puolet hänen henkilökohtaisesta tuntipalkastaan. Varallaolo-aikaa ei lasketa työaikaan.</w:t>
      </w:r>
    </w:p>
    <w:p w14:paraId="5A7B4355"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Sellaiseen työntekijään, joka on tämän kohdan mukaisesti ollut varalla, ei sovelleta hälytysluonteista työtä koskevia määräyksiä.</w:t>
      </w:r>
    </w:p>
    <w:p w14:paraId="45D30432"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Muu valmius</w:t>
      </w:r>
    </w:p>
    <w:p w14:paraId="4B54D6B8"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11. Muuta kuin edellä mainittua varallaoloa tarkoittavaa valmiutta koskevat ehdot ja korvaukset sopivat työnantaja ja työntekijä keskenään. Tällaista valmiusaikaa ei lueta työajaksi.</w:t>
      </w:r>
    </w:p>
    <w:p w14:paraId="10BE218B" w14:textId="77777777" w:rsidR="00C637C5" w:rsidRPr="00C637C5" w:rsidRDefault="00C637C5" w:rsidP="00C637C5">
      <w:pPr>
        <w:spacing w:before="100" w:beforeAutospacing="1" w:after="100" w:afterAutospacing="1" w:line="240" w:lineRule="auto"/>
        <w:outlineLvl w:val="2"/>
        <w:rPr>
          <w:rFonts w:ascii="Barlow" w:eastAsia="Times New Roman" w:hAnsi="Barlow" w:cs="Times New Roman"/>
          <w:color w:val="3C3C3C"/>
          <w:kern w:val="0"/>
          <w:sz w:val="27"/>
          <w:szCs w:val="27"/>
          <w:lang w:eastAsia="fi-FI"/>
          <w14:ligatures w14:val="none"/>
        </w:rPr>
      </w:pPr>
      <w:r w:rsidRPr="00C637C5">
        <w:rPr>
          <w:rFonts w:ascii="Barlow" w:eastAsia="Times New Roman" w:hAnsi="Barlow" w:cs="Times New Roman"/>
          <w:color w:val="3C3C3C"/>
          <w:kern w:val="0"/>
          <w:sz w:val="27"/>
          <w:szCs w:val="27"/>
          <w:lang w:eastAsia="fi-FI"/>
          <w14:ligatures w14:val="none"/>
        </w:rPr>
        <w:t>14 §</w:t>
      </w:r>
    </w:p>
    <w:p w14:paraId="69199D06"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Palvelusaikalisä</w:t>
      </w:r>
    </w:p>
    <w:p w14:paraId="16A9CC9E"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Kohta 5.</w:t>
      </w:r>
    </w:p>
    <w:p w14:paraId="0B1B9049"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Lisätään kohtaan 5. loppuun</w:t>
      </w:r>
    </w:p>
    <w:p w14:paraId="3B7AED8D"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Lyhyt, enintään 30 päivän keskeytys työsuhteessa ei katkaise yhdenjaksoisuutta.</w:t>
      </w:r>
    </w:p>
    <w:p w14:paraId="75F81A6D"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proofErr w:type="spellStart"/>
      <w:r w:rsidRPr="00C637C5">
        <w:rPr>
          <w:rFonts w:ascii="Barlow" w:eastAsia="Times New Roman" w:hAnsi="Barlow" w:cs="Times New Roman"/>
          <w:color w:val="3C3C3C"/>
          <w:kern w:val="0"/>
          <w:sz w:val="26"/>
          <w:szCs w:val="26"/>
          <w:lang w:eastAsia="fi-FI"/>
          <w14:ligatures w14:val="none"/>
        </w:rPr>
        <w:lastRenderedPageBreak/>
        <w:t>Palveluksessaoloaikaan</w:t>
      </w:r>
      <w:proofErr w:type="spellEnd"/>
      <w:r w:rsidRPr="00C637C5">
        <w:rPr>
          <w:rFonts w:ascii="Barlow" w:eastAsia="Times New Roman" w:hAnsi="Barlow" w:cs="Times New Roman"/>
          <w:color w:val="3C3C3C"/>
          <w:kern w:val="0"/>
          <w:sz w:val="26"/>
          <w:szCs w:val="26"/>
          <w:lang w:eastAsia="fi-FI"/>
          <w14:ligatures w14:val="none"/>
        </w:rPr>
        <w:t xml:space="preserve"> huomioidaan myös aika minkä vuokratyöntekijä on yhdenjaksoisesti työskennellyt käyttäjäyrityksen lukuun välittömästi ennen työsuhteen alkua tai keskeytys on kestänyt enintään 30 päivää välittömästi ennen työsuhteen alkua käyttäjäyritykseen.</w:t>
      </w:r>
    </w:p>
    <w:p w14:paraId="4A1AD07E"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Tämä koskee vain työsuhteita, jotka solmitaan 1.3.2025 jälkeen.</w:t>
      </w:r>
    </w:p>
    <w:p w14:paraId="01BD4639"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Lisätään uusi luokka</w:t>
      </w:r>
    </w:p>
    <w:p w14:paraId="553BA104"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Uusi luokitus 40-vuoden kohdalle 0,80 €</w:t>
      </w:r>
    </w:p>
    <w:p w14:paraId="6B9D0C04" w14:textId="77777777" w:rsidR="00C637C5" w:rsidRPr="00C637C5" w:rsidRDefault="00C637C5" w:rsidP="00C637C5">
      <w:pPr>
        <w:spacing w:before="100" w:beforeAutospacing="1" w:after="100" w:afterAutospacing="1" w:line="240" w:lineRule="auto"/>
        <w:outlineLvl w:val="2"/>
        <w:rPr>
          <w:rFonts w:ascii="Barlow" w:eastAsia="Times New Roman" w:hAnsi="Barlow" w:cs="Times New Roman"/>
          <w:color w:val="3C3C3C"/>
          <w:kern w:val="0"/>
          <w:sz w:val="27"/>
          <w:szCs w:val="27"/>
          <w:lang w:eastAsia="fi-FI"/>
          <w14:ligatures w14:val="none"/>
        </w:rPr>
      </w:pPr>
      <w:r w:rsidRPr="00C637C5">
        <w:rPr>
          <w:rFonts w:ascii="Barlow" w:eastAsia="Times New Roman" w:hAnsi="Barlow" w:cs="Times New Roman"/>
          <w:color w:val="3C3C3C"/>
          <w:kern w:val="0"/>
          <w:sz w:val="27"/>
          <w:szCs w:val="27"/>
          <w:lang w:eastAsia="fi-FI"/>
          <w14:ligatures w14:val="none"/>
        </w:rPr>
        <w:t>19 §</w:t>
      </w:r>
    </w:p>
    <w:p w14:paraId="02E2E613"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Itsenäisyyspäivä</w:t>
      </w:r>
    </w:p>
    <w:p w14:paraId="55A11AAD"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Työntekijälle maksetaan itsenäisyyspäivältä arkipyhäkorvaus tämän pykälän määräysten mukaisesti, jos itsenäisyyspäivä on työtuntijärjestelmän mukaan työntekijän vapaapäivä ja muut tämän pykälän mukaiset arkipyhän maksuedellytykset täyttyvät.</w:t>
      </w:r>
    </w:p>
    <w:p w14:paraId="20894C66" w14:textId="77777777" w:rsidR="00C637C5" w:rsidRPr="00C637C5" w:rsidRDefault="00C637C5" w:rsidP="00C637C5">
      <w:pPr>
        <w:spacing w:before="100" w:beforeAutospacing="1" w:after="100" w:afterAutospacing="1" w:line="240" w:lineRule="auto"/>
        <w:outlineLvl w:val="2"/>
        <w:rPr>
          <w:rFonts w:ascii="Barlow" w:eastAsia="Times New Roman" w:hAnsi="Barlow" w:cs="Times New Roman"/>
          <w:color w:val="3C3C3C"/>
          <w:kern w:val="0"/>
          <w:sz w:val="27"/>
          <w:szCs w:val="27"/>
          <w:lang w:eastAsia="fi-FI"/>
          <w14:ligatures w14:val="none"/>
        </w:rPr>
      </w:pPr>
      <w:r w:rsidRPr="00C637C5">
        <w:rPr>
          <w:rFonts w:ascii="Barlow" w:eastAsia="Times New Roman" w:hAnsi="Barlow" w:cs="Times New Roman"/>
          <w:color w:val="3C3C3C"/>
          <w:kern w:val="0"/>
          <w:sz w:val="27"/>
          <w:szCs w:val="27"/>
          <w:lang w:eastAsia="fi-FI"/>
          <w14:ligatures w14:val="none"/>
        </w:rPr>
        <w:t>22 §</w:t>
      </w:r>
    </w:p>
    <w:p w14:paraId="4E449E99"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Lastenneuvola</w:t>
      </w:r>
    </w:p>
    <w:p w14:paraId="3985409A"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Ansionmenetys korvataan alle kouluikäisten lastenneuvolan terveystarkastusten ajalta yhden lastenneuvolakäynnin osalta kalenterivuodessa.</w:t>
      </w:r>
    </w:p>
    <w:p w14:paraId="480C38CC"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Lastenneuvolakäynti on järjestettävä työajan tarpeetonta menetystä välttäen ja ansionmenetys korvataan vain, jos käyntiä ei ole mahdollisuutta järjestää työajan ulkopuolella.</w:t>
      </w:r>
    </w:p>
    <w:p w14:paraId="17EBD6AF" w14:textId="77777777" w:rsidR="00C637C5" w:rsidRPr="00C637C5" w:rsidRDefault="00C637C5" w:rsidP="00C637C5">
      <w:pPr>
        <w:spacing w:before="100" w:beforeAutospacing="1" w:after="100" w:afterAutospacing="1" w:line="240" w:lineRule="auto"/>
        <w:outlineLvl w:val="2"/>
        <w:rPr>
          <w:rFonts w:ascii="Barlow" w:eastAsia="Times New Roman" w:hAnsi="Barlow" w:cs="Times New Roman"/>
          <w:color w:val="3C3C3C"/>
          <w:kern w:val="0"/>
          <w:sz w:val="27"/>
          <w:szCs w:val="27"/>
          <w:lang w:eastAsia="fi-FI"/>
          <w14:ligatures w14:val="none"/>
        </w:rPr>
      </w:pPr>
      <w:r w:rsidRPr="00C637C5">
        <w:rPr>
          <w:rFonts w:ascii="Barlow" w:eastAsia="Times New Roman" w:hAnsi="Barlow" w:cs="Times New Roman"/>
          <w:color w:val="3C3C3C"/>
          <w:kern w:val="0"/>
          <w:sz w:val="27"/>
          <w:szCs w:val="27"/>
          <w:lang w:eastAsia="fi-FI"/>
          <w14:ligatures w14:val="none"/>
        </w:rPr>
        <w:t>Irtisanomissuojasopimus</w:t>
      </w:r>
    </w:p>
    <w:p w14:paraId="4D97B29E" w14:textId="77777777" w:rsidR="00C637C5" w:rsidRPr="00C637C5" w:rsidRDefault="00C637C5" w:rsidP="00C637C5">
      <w:pPr>
        <w:spacing w:before="100" w:beforeAutospacing="1" w:after="100" w:afterAutospacing="1" w:line="240" w:lineRule="auto"/>
        <w:outlineLvl w:val="3"/>
        <w:rPr>
          <w:rFonts w:ascii="Barlow" w:eastAsia="Times New Roman" w:hAnsi="Barlow" w:cs="Times New Roman"/>
          <w:color w:val="3C3C3C"/>
          <w:kern w:val="0"/>
          <w:lang w:eastAsia="fi-FI"/>
          <w14:ligatures w14:val="none"/>
        </w:rPr>
      </w:pPr>
      <w:r w:rsidRPr="00C637C5">
        <w:rPr>
          <w:rFonts w:ascii="Barlow" w:eastAsia="Times New Roman" w:hAnsi="Barlow" w:cs="Times New Roman"/>
          <w:color w:val="3C3C3C"/>
          <w:kern w:val="0"/>
          <w:lang w:eastAsia="fi-FI"/>
          <w14:ligatures w14:val="none"/>
        </w:rPr>
        <w:t>Uusi 19 § Työn tarjoamis- ja koulutusvelvollisuus</w:t>
      </w:r>
    </w:p>
    <w:p w14:paraId="4FAC3655"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 xml:space="preserve">Työnantaja täyttää työsopimuslain mukaisen työn tarjoamis- ja koulutusvelvollisuutensa lomautus- ja irtisanomistilanteissa tiedottamalla avoimena olevasta työmahdollisuudesta työntekijälle hänen </w:t>
      </w:r>
      <w:proofErr w:type="gramStart"/>
      <w:r w:rsidRPr="00C637C5">
        <w:rPr>
          <w:rFonts w:ascii="Barlow" w:eastAsia="Times New Roman" w:hAnsi="Barlow" w:cs="Times New Roman"/>
          <w:color w:val="3C3C3C"/>
          <w:kern w:val="0"/>
          <w:sz w:val="26"/>
          <w:szCs w:val="26"/>
          <w:lang w:eastAsia="fi-FI"/>
          <w14:ligatures w14:val="none"/>
        </w:rPr>
        <w:t>työnantajalle</w:t>
      </w:r>
      <w:proofErr w:type="gramEnd"/>
      <w:r w:rsidRPr="00C637C5">
        <w:rPr>
          <w:rFonts w:ascii="Barlow" w:eastAsia="Times New Roman" w:hAnsi="Barlow" w:cs="Times New Roman"/>
          <w:color w:val="3C3C3C"/>
          <w:kern w:val="0"/>
          <w:sz w:val="26"/>
          <w:szCs w:val="26"/>
          <w:lang w:eastAsia="fi-FI"/>
          <w14:ligatures w14:val="none"/>
        </w:rPr>
        <w:t xml:space="preserve"> antamiansa yhteystietoja käyttäen. Työn tarjoamisen voi hoitaa joko puhelimitse, tekstiviestillä, sähköpostilla tai vastaavalla. Työntekijä on velvollinen ilmoittamaan halukkuutensa vastaanottaa työmahdollisuuden viiden päivän kuluessa viestin toimittamisesta käyttäen samaa viestivälinettä kuin työnantaja. Mikäli työntekijä ei vastaa työn tarjoamiseen aikarajan puitteissa, katsotaan työnantajan kuitenkin täyttäneen lain mukaisen työn tarjoamisvelvollisuutensa kyseiseen tehtävään.</w:t>
      </w:r>
    </w:p>
    <w:p w14:paraId="1CAD3A0A" w14:textId="77777777" w:rsidR="00C637C5" w:rsidRPr="00C637C5" w:rsidRDefault="00C637C5" w:rsidP="00C637C5">
      <w:pPr>
        <w:spacing w:before="100" w:beforeAutospacing="1" w:after="100" w:afterAutospacing="1" w:line="240" w:lineRule="auto"/>
        <w:outlineLvl w:val="3"/>
        <w:rPr>
          <w:rFonts w:ascii="Barlow" w:eastAsia="Times New Roman" w:hAnsi="Barlow" w:cs="Times New Roman"/>
          <w:color w:val="3C3C3C"/>
          <w:kern w:val="0"/>
          <w:lang w:eastAsia="fi-FI"/>
          <w14:ligatures w14:val="none"/>
        </w:rPr>
      </w:pPr>
      <w:r w:rsidRPr="00C637C5">
        <w:rPr>
          <w:rFonts w:ascii="Barlow" w:eastAsia="Times New Roman" w:hAnsi="Barlow" w:cs="Times New Roman"/>
          <w:color w:val="3C3C3C"/>
          <w:kern w:val="0"/>
          <w:lang w:eastAsia="fi-FI"/>
          <w14:ligatures w14:val="none"/>
        </w:rPr>
        <w:t>20 § Takaisinottovelvollisuus</w:t>
      </w:r>
    </w:p>
    <w:p w14:paraId="3C985F56"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lastRenderedPageBreak/>
        <w:t>Työnantajan on tarjottava työtä 7 luvun 3 tai 7 §:ssä säädetyillä perusteilla irtisanomalleen työvoimapalveluiden järjestämisestä annetussa laissa tarkoitettuna työnhakijana olevalle entiselle työntekijälleen, jos työnantaja tarvitsee työntekijöitä neljän kuukauden kuluessa työsuhteen päättymisestä samoihin tai samankaltaisiin tehtäviin, joita irtisanottu työntekijä oli tehnyt. Jos työsuhde on jatkunut keskeytyksettä sen päättymiseen mennessä vähintään 12 vuotta, takaisinottoaika on kuitenkin kuusi kuukautta.</w:t>
      </w:r>
    </w:p>
    <w:p w14:paraId="3C8E2795"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§-numerointi muuttuu 19 § -&gt; 20 §</w:t>
      </w:r>
    </w:p>
    <w:p w14:paraId="34914197" w14:textId="77777777" w:rsidR="00C637C5" w:rsidRPr="00C637C5" w:rsidRDefault="00C637C5" w:rsidP="00C637C5">
      <w:pPr>
        <w:spacing w:before="100" w:beforeAutospacing="1" w:after="100" w:afterAutospacing="1" w:line="240" w:lineRule="auto"/>
        <w:outlineLvl w:val="3"/>
        <w:rPr>
          <w:rFonts w:ascii="Barlow" w:eastAsia="Times New Roman" w:hAnsi="Barlow" w:cs="Times New Roman"/>
          <w:color w:val="3C3C3C"/>
          <w:kern w:val="0"/>
          <w:lang w:eastAsia="fi-FI"/>
          <w14:ligatures w14:val="none"/>
        </w:rPr>
      </w:pPr>
      <w:r w:rsidRPr="00C637C5">
        <w:rPr>
          <w:rFonts w:ascii="Barlow" w:eastAsia="Times New Roman" w:hAnsi="Barlow" w:cs="Times New Roman"/>
          <w:color w:val="3C3C3C"/>
          <w:kern w:val="0"/>
          <w:lang w:eastAsia="fi-FI"/>
          <w14:ligatures w14:val="none"/>
        </w:rPr>
        <w:t>21 §</w:t>
      </w:r>
    </w:p>
    <w:p w14:paraId="438E1C1E"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Jos työsuhde on jatkunut enintään kuukauden, työntekijällä on oikeus saada sairausajan palkkana 50 % palkasta sairastumispäivää seuranneen yhdeksännen arkipäivän loppuun. Sairausvakuutuslain mukaan lauantai on arkipäivä. Sairausajan palkkaa maksetaan työtuntijärjestelmän mukaisilta työpäiviltä.</w:t>
      </w:r>
    </w:p>
    <w:p w14:paraId="3DD971B5" w14:textId="77777777" w:rsidR="00C637C5" w:rsidRPr="00C637C5" w:rsidRDefault="00C637C5" w:rsidP="00C637C5">
      <w:pPr>
        <w:spacing w:before="100" w:beforeAutospacing="1" w:after="100" w:afterAutospacing="1" w:line="240" w:lineRule="auto"/>
        <w:outlineLvl w:val="2"/>
        <w:rPr>
          <w:rFonts w:ascii="Barlow" w:eastAsia="Times New Roman" w:hAnsi="Barlow" w:cs="Times New Roman"/>
          <w:color w:val="3C3C3C"/>
          <w:kern w:val="0"/>
          <w:sz w:val="27"/>
          <w:szCs w:val="27"/>
          <w:lang w:eastAsia="fi-FI"/>
          <w14:ligatures w14:val="none"/>
        </w:rPr>
      </w:pPr>
      <w:r w:rsidRPr="00C637C5">
        <w:rPr>
          <w:rFonts w:ascii="Barlow" w:eastAsia="Times New Roman" w:hAnsi="Barlow" w:cs="Times New Roman"/>
          <w:color w:val="3C3C3C"/>
          <w:kern w:val="0"/>
          <w:sz w:val="27"/>
          <w:szCs w:val="27"/>
          <w:lang w:eastAsia="fi-FI"/>
          <w14:ligatures w14:val="none"/>
        </w:rPr>
        <w:t>22 § Lääkärintarkastukset</w:t>
      </w:r>
    </w:p>
    <w:p w14:paraId="59EBF92E"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Seulonnat 4.0</w:t>
      </w:r>
    </w:p>
    <w:p w14:paraId="4CC33E0A"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Lisätään eturauhassyöpäseulonta seulontoihin, joiden ajalta ansionmenetys korvataan.</w:t>
      </w:r>
    </w:p>
    <w:p w14:paraId="792FE7C9" w14:textId="77777777" w:rsidR="00C637C5" w:rsidRPr="00C637C5" w:rsidRDefault="00C637C5" w:rsidP="00C637C5">
      <w:pPr>
        <w:spacing w:before="100" w:beforeAutospacing="1" w:after="100" w:afterAutospacing="1" w:line="240" w:lineRule="auto"/>
        <w:outlineLvl w:val="2"/>
        <w:rPr>
          <w:rFonts w:ascii="Barlow" w:eastAsia="Times New Roman" w:hAnsi="Barlow" w:cs="Times New Roman"/>
          <w:color w:val="3C3C3C"/>
          <w:kern w:val="0"/>
          <w:sz w:val="27"/>
          <w:szCs w:val="27"/>
          <w:lang w:eastAsia="fi-FI"/>
          <w14:ligatures w14:val="none"/>
        </w:rPr>
      </w:pPr>
      <w:r w:rsidRPr="00C637C5">
        <w:rPr>
          <w:rFonts w:ascii="Barlow" w:eastAsia="Times New Roman" w:hAnsi="Barlow" w:cs="Times New Roman"/>
          <w:color w:val="3C3C3C"/>
          <w:kern w:val="0"/>
          <w:sz w:val="27"/>
          <w:szCs w:val="27"/>
          <w:lang w:eastAsia="fi-FI"/>
          <w14:ligatures w14:val="none"/>
        </w:rPr>
        <w:t>23 § </w:t>
      </w:r>
      <w:r w:rsidRPr="00C637C5">
        <w:rPr>
          <w:rFonts w:ascii="Barlow" w:eastAsia="Times New Roman" w:hAnsi="Barlow" w:cs="Times New Roman"/>
          <w:strike/>
          <w:color w:val="3C3C3C"/>
          <w:kern w:val="0"/>
          <w:sz w:val="27"/>
          <w:szCs w:val="27"/>
          <w:lang w:eastAsia="fi-FI"/>
          <w14:ligatures w14:val="none"/>
        </w:rPr>
        <w:t>Äitiys- ja isyysvapaa</w:t>
      </w:r>
      <w:r w:rsidRPr="00C637C5">
        <w:rPr>
          <w:rFonts w:ascii="Barlow" w:eastAsia="Times New Roman" w:hAnsi="Barlow" w:cs="Times New Roman"/>
          <w:color w:val="3C3C3C"/>
          <w:kern w:val="0"/>
          <w:sz w:val="27"/>
          <w:szCs w:val="27"/>
          <w:lang w:eastAsia="fi-FI"/>
          <w14:ligatures w14:val="none"/>
        </w:rPr>
        <w:t> Vanhempainvapaa</w:t>
      </w:r>
    </w:p>
    <w:p w14:paraId="3DDC0846"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Synnyttävälle vanhemmalle maksetaan raskaus- ja vanhempainvapaan ajalta 56 ja ei-synnyttävälle vanhemmalle vanhempainvapaan ajalta 16 sairausvakuutuslain mukaisen arkipäivän pituisen kalenteriajanjakson työtuntijärjestelmän mukaisilta työpäiviltä laskettava työntekijän palkan ja raskaus- ja vanhempainpäivärahan erotus. Raskaus- ja vanhempainpäivärahalla tarkoitetaan sairausvakuutuslain mukaista raskaus- ja vanhempainpäivärahaa tai siihen verrattavaa muun lain tai sopimuksen perusteella tulevaa korvausta. Mikäli työntekijä pitää vanhempainvapaata jaksoissa, tulee jokaista kuutta vanhempainvapaapäivää kohden sisältyä yksi arkilauantai.</w:t>
      </w:r>
    </w:p>
    <w:p w14:paraId="3D3641D1"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Muuten pykälä ennallaan.</w:t>
      </w:r>
    </w:p>
    <w:p w14:paraId="6587C757"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Määräys tulee voimaan 15.5.2025 tai tämän jälkeen syntyvien tai adoptoitavien lasten vanhempien perhevapaisiin.</w:t>
      </w:r>
    </w:p>
    <w:p w14:paraId="24F73B56" w14:textId="77777777" w:rsidR="00C637C5" w:rsidRPr="00C637C5" w:rsidRDefault="00C637C5" w:rsidP="00C637C5">
      <w:pPr>
        <w:spacing w:before="100" w:beforeAutospacing="1" w:after="100" w:afterAutospacing="1" w:line="240" w:lineRule="auto"/>
        <w:outlineLvl w:val="2"/>
        <w:rPr>
          <w:rFonts w:ascii="Barlow" w:eastAsia="Times New Roman" w:hAnsi="Barlow" w:cs="Times New Roman"/>
          <w:color w:val="3C3C3C"/>
          <w:kern w:val="0"/>
          <w:sz w:val="27"/>
          <w:szCs w:val="27"/>
          <w:lang w:eastAsia="fi-FI"/>
          <w14:ligatures w14:val="none"/>
        </w:rPr>
      </w:pPr>
      <w:r w:rsidRPr="00C637C5">
        <w:rPr>
          <w:rFonts w:ascii="Barlow" w:eastAsia="Times New Roman" w:hAnsi="Barlow" w:cs="Times New Roman"/>
          <w:color w:val="3C3C3C"/>
          <w:kern w:val="0"/>
          <w:sz w:val="27"/>
          <w:szCs w:val="27"/>
          <w:lang w:eastAsia="fi-FI"/>
          <w14:ligatures w14:val="none"/>
        </w:rPr>
        <w:t>Yleissopimus 3. luku</w:t>
      </w:r>
    </w:p>
    <w:p w14:paraId="3BAC06D8" w14:textId="77777777" w:rsidR="00C637C5" w:rsidRPr="00C637C5" w:rsidRDefault="00C637C5" w:rsidP="00C637C5">
      <w:pPr>
        <w:spacing w:before="100" w:beforeAutospacing="1" w:after="100" w:afterAutospacing="1" w:line="240" w:lineRule="auto"/>
        <w:outlineLvl w:val="3"/>
        <w:rPr>
          <w:rFonts w:ascii="Barlow" w:eastAsia="Times New Roman" w:hAnsi="Barlow" w:cs="Times New Roman"/>
          <w:color w:val="3C3C3C"/>
          <w:kern w:val="0"/>
          <w:lang w:eastAsia="fi-FI"/>
          <w14:ligatures w14:val="none"/>
        </w:rPr>
      </w:pPr>
      <w:r w:rsidRPr="00C637C5">
        <w:rPr>
          <w:rFonts w:ascii="Barlow" w:eastAsia="Times New Roman" w:hAnsi="Barlow" w:cs="Times New Roman"/>
          <w:color w:val="3C3C3C"/>
          <w:kern w:val="0"/>
          <w:lang w:eastAsia="fi-FI"/>
          <w14:ligatures w14:val="none"/>
        </w:rPr>
        <w:t>3.1 Luottamushenkilöitä koskevat määräykset</w:t>
      </w:r>
    </w:p>
    <w:p w14:paraId="518F5393"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Luottamushenkilöiden toimikauden pituus on kaksi vuotta.</w:t>
      </w:r>
    </w:p>
    <w:p w14:paraId="028616B5" w14:textId="77777777" w:rsidR="00C637C5" w:rsidRPr="00C637C5" w:rsidRDefault="00C637C5" w:rsidP="00C637C5">
      <w:pPr>
        <w:spacing w:before="100" w:beforeAutospacing="1" w:after="100" w:afterAutospacing="1" w:line="240" w:lineRule="auto"/>
        <w:outlineLvl w:val="3"/>
        <w:rPr>
          <w:rFonts w:ascii="Barlow" w:eastAsia="Times New Roman" w:hAnsi="Barlow" w:cs="Times New Roman"/>
          <w:color w:val="3C3C3C"/>
          <w:kern w:val="0"/>
          <w:lang w:eastAsia="fi-FI"/>
          <w14:ligatures w14:val="none"/>
        </w:rPr>
      </w:pPr>
      <w:r w:rsidRPr="00C637C5">
        <w:rPr>
          <w:rFonts w:ascii="Barlow" w:eastAsia="Times New Roman" w:hAnsi="Barlow" w:cs="Times New Roman"/>
          <w:color w:val="3C3C3C"/>
          <w:kern w:val="0"/>
          <w:lang w:eastAsia="fi-FI"/>
          <w14:ligatures w14:val="none"/>
        </w:rPr>
        <w:lastRenderedPageBreak/>
        <w:t>Valitseminen</w:t>
      </w:r>
    </w:p>
    <w:p w14:paraId="6D21CB3C"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Luottamushenkilön tulee olla työsuhteessa oleva työntekijä ja Rakennusliiton jäsen sekä perehtynyt työpaikan olosuhteisiin. Irtisanomisajalla oleva työntekijä ei voi asettua ehdolle.</w:t>
      </w:r>
    </w:p>
    <w:p w14:paraId="447EA074" w14:textId="77777777" w:rsidR="00C637C5" w:rsidRPr="00C637C5" w:rsidRDefault="00C637C5" w:rsidP="00C637C5">
      <w:pPr>
        <w:spacing w:before="100" w:beforeAutospacing="1" w:after="100" w:afterAutospacing="1" w:line="240" w:lineRule="auto"/>
        <w:outlineLvl w:val="3"/>
        <w:rPr>
          <w:rFonts w:ascii="Barlow" w:eastAsia="Times New Roman" w:hAnsi="Barlow" w:cs="Times New Roman"/>
          <w:color w:val="3C3C3C"/>
          <w:kern w:val="0"/>
          <w:lang w:eastAsia="fi-FI"/>
          <w14:ligatures w14:val="none"/>
        </w:rPr>
      </w:pPr>
      <w:r w:rsidRPr="00C637C5">
        <w:rPr>
          <w:rFonts w:ascii="Barlow" w:eastAsia="Times New Roman" w:hAnsi="Barlow" w:cs="Times New Roman"/>
          <w:color w:val="3C3C3C"/>
          <w:kern w:val="0"/>
          <w:lang w:eastAsia="fi-FI"/>
          <w14:ligatures w14:val="none"/>
        </w:rPr>
        <w:t>Poikkeussääntö</w:t>
      </w:r>
    </w:p>
    <w:p w14:paraId="48DE6306"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Jos luottamushenkilöksi valitaan lomautusilmoituksen saanut tai lomautettu työntekijä, tulee valittu luottamushenkilö kutsua ensimmäisenä hänen ammattiaan vastaavaan työhön työtilanteen parantuessa, kuitenkin viimeistään kuuden kuukauden kuluttua toimikauden alusta lukien.</w:t>
      </w:r>
    </w:p>
    <w:p w14:paraId="1689B1B4"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Jos lomautettu tai lomautusilmoituksen saanut työntekijä asettuu ehdolle, ei työehtosopimuksen mukaista ehdokassuojaa ole, vaan lomautus pysyy voimassa.</w:t>
      </w:r>
    </w:p>
    <w:p w14:paraId="3B72F5AC" w14:textId="77777777" w:rsidR="00C637C5" w:rsidRPr="00C637C5" w:rsidRDefault="00C637C5" w:rsidP="00C637C5">
      <w:pPr>
        <w:spacing w:before="100" w:beforeAutospacing="1" w:after="100" w:afterAutospacing="1" w:line="240" w:lineRule="auto"/>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Mikäli yrityksen pääluottamushenkilön edustettavista työntekijöistä kaikki luottamushenkilöitä lukuun ottamatta ovat lomautettuna, ei tehtävästä syrjäytetyn luottamushenkilön jälkisuojaa saa heikentää.</w:t>
      </w:r>
    </w:p>
    <w:p w14:paraId="44479290" w14:textId="77777777" w:rsidR="00C637C5" w:rsidRPr="00C637C5" w:rsidRDefault="00C637C5" w:rsidP="00C637C5">
      <w:pPr>
        <w:numPr>
          <w:ilvl w:val="0"/>
          <w:numId w:val="1"/>
        </w:numPr>
        <w:spacing w:before="100" w:beforeAutospacing="1" w:after="225" w:line="240" w:lineRule="auto"/>
        <w:rPr>
          <w:rFonts w:ascii="Barlow" w:eastAsia="Times New Roman" w:hAnsi="Barlow" w:cs="Times New Roman"/>
          <w:color w:val="3C3C3C"/>
          <w:kern w:val="0"/>
          <w:sz w:val="26"/>
          <w:szCs w:val="26"/>
          <w:lang w:eastAsia="fi-FI"/>
          <w14:ligatures w14:val="none"/>
        </w:rPr>
      </w:pPr>
    </w:p>
    <w:p w14:paraId="08CE784E" w14:textId="77777777" w:rsidR="00C637C5" w:rsidRPr="00C637C5" w:rsidRDefault="00C637C5" w:rsidP="00C637C5">
      <w:pPr>
        <w:spacing w:after="0" w:line="240" w:lineRule="auto"/>
        <w:ind w:left="720"/>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 </w:t>
      </w:r>
    </w:p>
    <w:p w14:paraId="73EA0194" w14:textId="77777777" w:rsidR="00C637C5" w:rsidRPr="00C637C5" w:rsidRDefault="00C637C5" w:rsidP="00C637C5">
      <w:pPr>
        <w:numPr>
          <w:ilvl w:val="0"/>
          <w:numId w:val="1"/>
        </w:numPr>
        <w:spacing w:before="100" w:beforeAutospacing="1" w:after="225" w:line="240" w:lineRule="auto"/>
        <w:rPr>
          <w:rFonts w:ascii="Barlow" w:eastAsia="Times New Roman" w:hAnsi="Barlow" w:cs="Times New Roman"/>
          <w:color w:val="3C3C3C"/>
          <w:kern w:val="0"/>
          <w:sz w:val="26"/>
          <w:szCs w:val="26"/>
          <w:lang w:eastAsia="fi-FI"/>
          <w14:ligatures w14:val="none"/>
        </w:rPr>
      </w:pPr>
    </w:p>
    <w:p w14:paraId="734B8246" w14:textId="77777777" w:rsidR="00C637C5" w:rsidRPr="00C637C5" w:rsidRDefault="00C637C5" w:rsidP="00C637C5">
      <w:pPr>
        <w:spacing w:after="0" w:line="240" w:lineRule="auto"/>
        <w:ind w:left="720"/>
        <w:rPr>
          <w:rFonts w:ascii="Barlow" w:eastAsia="Times New Roman" w:hAnsi="Barlow" w:cs="Times New Roman"/>
          <w:color w:val="3C3C3C"/>
          <w:kern w:val="0"/>
          <w:sz w:val="26"/>
          <w:szCs w:val="26"/>
          <w:lang w:eastAsia="fi-FI"/>
          <w14:ligatures w14:val="none"/>
        </w:rPr>
      </w:pPr>
      <w:r w:rsidRPr="00C637C5">
        <w:rPr>
          <w:rFonts w:ascii="Barlow" w:eastAsia="Times New Roman" w:hAnsi="Barlow" w:cs="Times New Roman"/>
          <w:color w:val="3C3C3C"/>
          <w:kern w:val="0"/>
          <w:sz w:val="26"/>
          <w:szCs w:val="26"/>
          <w:lang w:eastAsia="fi-FI"/>
          <w14:ligatures w14:val="none"/>
        </w:rPr>
        <w:t> </w:t>
      </w:r>
    </w:p>
    <w:p w14:paraId="3F1BCC01" w14:textId="77777777" w:rsidR="00ED48A4" w:rsidRDefault="00ED48A4"/>
    <w:sectPr w:rsidR="00ED48A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Source Code Pro">
    <w:charset w:val="00"/>
    <w:family w:val="modern"/>
    <w:pitch w:val="fixed"/>
    <w:sig w:usb0="200002F7" w:usb1="020038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67E39"/>
    <w:multiLevelType w:val="multilevel"/>
    <w:tmpl w:val="5338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41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C5"/>
    <w:rsid w:val="00C57736"/>
    <w:rsid w:val="00C637C5"/>
    <w:rsid w:val="00ED48A4"/>
    <w:rsid w:val="00FA02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41EC"/>
  <w15:chartTrackingRefBased/>
  <w15:docId w15:val="{7729E54E-0392-4A8F-944E-55E87D84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63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C63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C637C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rsid w:val="00C637C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637C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637C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637C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637C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637C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637C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C637C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C637C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C637C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637C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637C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637C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637C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637C5"/>
    <w:rPr>
      <w:rFonts w:eastAsiaTheme="majorEastAsia" w:cstheme="majorBidi"/>
      <w:color w:val="272727" w:themeColor="text1" w:themeTint="D8"/>
    </w:rPr>
  </w:style>
  <w:style w:type="paragraph" w:styleId="Otsikko">
    <w:name w:val="Title"/>
    <w:basedOn w:val="Normaali"/>
    <w:next w:val="Normaali"/>
    <w:link w:val="OtsikkoChar"/>
    <w:uiPriority w:val="10"/>
    <w:qFormat/>
    <w:rsid w:val="00C63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637C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637C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637C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637C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637C5"/>
    <w:rPr>
      <w:i/>
      <w:iCs/>
      <w:color w:val="404040" w:themeColor="text1" w:themeTint="BF"/>
    </w:rPr>
  </w:style>
  <w:style w:type="paragraph" w:styleId="Luettelokappale">
    <w:name w:val="List Paragraph"/>
    <w:basedOn w:val="Normaali"/>
    <w:uiPriority w:val="34"/>
    <w:qFormat/>
    <w:rsid w:val="00C637C5"/>
    <w:pPr>
      <w:ind w:left="720"/>
      <w:contextualSpacing/>
    </w:pPr>
  </w:style>
  <w:style w:type="character" w:styleId="Voimakaskorostus">
    <w:name w:val="Intense Emphasis"/>
    <w:basedOn w:val="Kappaleenoletusfontti"/>
    <w:uiPriority w:val="21"/>
    <w:qFormat/>
    <w:rsid w:val="00C637C5"/>
    <w:rPr>
      <w:i/>
      <w:iCs/>
      <w:color w:val="0F4761" w:themeColor="accent1" w:themeShade="BF"/>
    </w:rPr>
  </w:style>
  <w:style w:type="paragraph" w:styleId="Erottuvalainaus">
    <w:name w:val="Intense Quote"/>
    <w:basedOn w:val="Normaali"/>
    <w:next w:val="Normaali"/>
    <w:link w:val="ErottuvalainausChar"/>
    <w:uiPriority w:val="30"/>
    <w:qFormat/>
    <w:rsid w:val="00C63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637C5"/>
    <w:rPr>
      <w:i/>
      <w:iCs/>
      <w:color w:val="0F4761" w:themeColor="accent1" w:themeShade="BF"/>
    </w:rPr>
  </w:style>
  <w:style w:type="character" w:styleId="Erottuvaviittaus">
    <w:name w:val="Intense Reference"/>
    <w:basedOn w:val="Kappaleenoletusfontti"/>
    <w:uiPriority w:val="32"/>
    <w:qFormat/>
    <w:rsid w:val="00C637C5"/>
    <w:rPr>
      <w:b/>
      <w:bCs/>
      <w:smallCaps/>
      <w:color w:val="0F4761" w:themeColor="accent1" w:themeShade="BF"/>
      <w:spacing w:val="5"/>
    </w:rPr>
  </w:style>
  <w:style w:type="paragraph" w:customStyle="1" w:styleId="post-meta">
    <w:name w:val="post-meta"/>
    <w:basedOn w:val="Normaali"/>
    <w:rsid w:val="00C637C5"/>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date">
    <w:name w:val="date"/>
    <w:basedOn w:val="Kappaleenoletusfontti"/>
    <w:rsid w:val="00C637C5"/>
  </w:style>
  <w:style w:type="character" w:customStyle="1" w:styleId="category">
    <w:name w:val="category"/>
    <w:basedOn w:val="Kappaleenoletusfontti"/>
    <w:rsid w:val="00C637C5"/>
  </w:style>
  <w:style w:type="character" w:styleId="Hyperlinkki">
    <w:name w:val="Hyperlink"/>
    <w:basedOn w:val="Kappaleenoletusfontti"/>
    <w:uiPriority w:val="99"/>
    <w:semiHidden/>
    <w:unhideWhenUsed/>
    <w:rsid w:val="00C637C5"/>
    <w:rPr>
      <w:color w:val="0000FF"/>
      <w:u w:val="single"/>
    </w:rPr>
  </w:style>
  <w:style w:type="paragraph" w:styleId="NormaaliWWW">
    <w:name w:val="Normal (Web)"/>
    <w:basedOn w:val="Normaali"/>
    <w:uiPriority w:val="99"/>
    <w:semiHidden/>
    <w:unhideWhenUsed/>
    <w:rsid w:val="00C637C5"/>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paragraph" w:customStyle="1" w:styleId="social-linksitem">
    <w:name w:val="social-links__item"/>
    <w:basedOn w:val="Normaali"/>
    <w:rsid w:val="00C637C5"/>
    <w:pPr>
      <w:spacing w:before="100" w:beforeAutospacing="1" w:after="100" w:afterAutospacing="1" w:line="240" w:lineRule="auto"/>
    </w:pPr>
    <w:rPr>
      <w:rFonts w:ascii="Times New Roman" w:eastAsia="Times New Roman" w:hAnsi="Times New Roman" w:cs="Times New Roman"/>
      <w:kern w:val="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437077">
      <w:bodyDiv w:val="1"/>
      <w:marLeft w:val="0"/>
      <w:marRight w:val="0"/>
      <w:marTop w:val="0"/>
      <w:marBottom w:val="0"/>
      <w:divBdr>
        <w:top w:val="none" w:sz="0" w:space="0" w:color="auto"/>
        <w:left w:val="none" w:sz="0" w:space="0" w:color="auto"/>
        <w:bottom w:val="none" w:sz="0" w:space="0" w:color="auto"/>
        <w:right w:val="none" w:sz="0" w:space="0" w:color="auto"/>
      </w:divBdr>
      <w:divsChild>
        <w:div w:id="2038041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akennusliitto.fi/wp-content/uploads/2025/05/Rakennustuoteteollisuus-2025-korjatt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kennusliitto.fi/category/uutiset/palkat-ja-tes/" TargetMode="External"/><Relationship Id="rId5" Type="http://schemas.openxmlformats.org/officeDocument/2006/relationships/hyperlink" Target="https://rakennusliitto.fi/category/uutis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939</Words>
  <Characters>7612</Characters>
  <Application>Microsoft Office Word</Application>
  <DocSecurity>0</DocSecurity>
  <Lines>63</Lines>
  <Paragraphs>17</Paragraphs>
  <ScaleCrop>false</ScaleCrop>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Lassi Kirjavainen</dc:creator>
  <cp:keywords/>
  <dc:description/>
  <cp:lastModifiedBy>Lassi Kirjavainen</cp:lastModifiedBy>
  <cp:revision>1</cp:revision>
  <dcterms:created xsi:type="dcterms:W3CDTF">2025-05-22T03:27:00Z</dcterms:created>
  <dcterms:modified xsi:type="dcterms:W3CDTF">2025-05-22T03:27:00Z</dcterms:modified>
</cp:coreProperties>
</file>